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План обеспечения непрерывности и (или) восстановления деятельности (ПОНиВД)</w:t>
      </w:r>
    </w:p>
    <w:p>
      <w:r>
        <w:rPr>
          <w:i/>
          <w:sz w:val="22"/>
        </w:rPr>
        <w:t>[Наименование кредитной организации]. Утвержден [орган, дата, номер]. Структура соответствует требованиям Положений Банка России № 850-П и № 716-П.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Разделы, помеченные «при необходимости», удаляются, если к организации неприменимы. Перед утверждением документ проверяет юридическая служба и служба внутреннего контроля.</w:t>
      </w:r>
    </w:p>
    <w:p>
      <w:pPr>
        <w:pStyle w:val="Heading1"/>
      </w:pPr>
      <w:r>
        <w:rPr>
          <w:color w:val="1B2A4A"/>
        </w:rPr>
        <w:t>Лист согласования и история версий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Версия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Что изменено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Кто утвердил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1.0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[дата]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Первая редакция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[Правление / Совет директоров]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1. Область действия и перечень технологических процессов</w:t>
      </w:r>
    </w:p>
    <w:p>
      <w:r>
        <w:t>План распространяется на технологические процессы, перечисленные в таблице. Для каждого процесса указан владелец, пороговое (допустимое) время простоя и целевые показатели. Перечень пересматривается при изменении состава процессов и не реже одного раза в год.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Технологический процесс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Владелец (должность)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Допустимое время простоя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Допустимая доля деградации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Критичность (1–3)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Переводы денежных средств (платежи клиентов)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Руководитель операционного департамента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[2 часа]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[5 %]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1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Дистанционное банковское обслуживание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Руководитель ДБО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[4 часа]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[10 %]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1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Касса и обслуживание в офисах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Руководитель розничного блока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[1 рабочий день]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[20 %]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2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[процесс]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[владелец]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</w:tr>
    </w:tbl>
    <w:p/>
    <w:p>
      <w:pPr>
        <w:pStyle w:val="Heading1"/>
      </w:pPr>
      <w:r>
        <w:rPr>
          <w:color w:val="1B2A4A"/>
        </w:rPr>
        <w:t>2. Целевые показатели операционной надежности</w:t>
      </w:r>
    </w:p>
    <w:p>
      <w:r>
        <w:t>Сигнальные и контрольные значения устанавливаются по каждому процессу и пересматриваются не реже одного раза в год с учетом контрольных показателей уровня операционного риска.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Процесс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Показатель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Сигнальное значение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Контрольное значение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Источник данных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Периодичность расчета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[процесс]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Время простоя, суммарно за квартал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[часов]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[часов]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[система мониторинга]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Ежеквартально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[процесс]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Доля деградации (неисполненных операций)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[%]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[%]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Ежеквартально</w:t>
            </w:r>
          </w:p>
        </w:tc>
      </w:tr>
    </w:tbl>
    <w:p/>
    <w:p>
      <w:pPr>
        <w:pStyle w:val="Heading1"/>
      </w:pPr>
      <w:r>
        <w:rPr>
          <w:color w:val="1B2A4A"/>
        </w:rPr>
        <w:t>3. Критичная архитектура</w:t>
      </w:r>
    </w:p>
    <w:p>
      <w:r>
        <w:t>Объекты информационной инфраструктуры, обеспечивающие процессы из раздела 1, их взаимозависимости и единые точки отказа. Схема архитектуры прилагается (Приложение А).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Процесс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Информационная система / сервис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Инфраструктура (сервер, канал, площадка)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Поставщик / владелец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Единая точка отказа (да/нет)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Резерв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[процесс]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[АБС, ДБО, процессинг]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[ЦОД-1, канал оператора X]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[внутренний / вендор]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[резервный ЦОД, второй канал]</w:t>
            </w:r>
          </w:p>
        </w:tc>
      </w:tr>
    </w:tbl>
    <w:p/>
    <w:p>
      <w:pPr>
        <w:pStyle w:val="Heading1"/>
      </w:pPr>
      <w:r>
        <w:rPr>
          <w:color w:val="1B2A4A"/>
        </w:rPr>
        <w:t>4. Сценарии нарушений</w:t>
      </w:r>
    </w:p>
    <w:p>
      <w:r>
        <w:t>План покрывает следующие типовые сценарии. Для каждого сценария в разделе 6 описана отдельная процедура (модуль плана).</w:t>
      </w:r>
    </w:p>
    <w:p>
      <w:pPr>
        <w:pStyle w:val="ListBullet"/>
      </w:pPr>
      <w:r>
        <w:t>Отказ информационной системы или ЦОД</w:t>
      </w:r>
    </w:p>
    <w:p>
      <w:pPr>
        <w:pStyle w:val="ListBullet"/>
      </w:pPr>
      <w:r>
        <w:t>Недоступность офиса или помещения (пожар, затопление, оцепление)</w:t>
      </w:r>
    </w:p>
    <w:p>
      <w:pPr>
        <w:pStyle w:val="ListBullet"/>
      </w:pPr>
      <w:r>
        <w:t>Потеря ключевого персонала или массовая недоступность сотрудников</w:t>
      </w:r>
    </w:p>
    <w:p>
      <w:pPr>
        <w:pStyle w:val="ListBullet"/>
      </w:pPr>
      <w:r>
        <w:t>Сбой или прекращение работы критичного поставщика</w:t>
      </w:r>
    </w:p>
    <w:p>
      <w:pPr>
        <w:pStyle w:val="ListBullet"/>
      </w:pPr>
      <w:r>
        <w:t>Компьютерная атака, включая шифровальщик и утечку данных</w:t>
      </w:r>
    </w:p>
    <w:p>
      <w:pPr>
        <w:pStyle w:val="ListBullet"/>
      </w:pPr>
      <w:r>
        <w:t>Отказ каналов связи</w:t>
      </w:r>
    </w:p>
    <w:p>
      <w:pPr>
        <w:pStyle w:val="ListBullet"/>
      </w:pPr>
      <w:r>
        <w:t>Отказ энергоснабжения</w:t>
      </w:r>
    </w:p>
    <w:p>
      <w:pPr>
        <w:pStyle w:val="ListBullet"/>
      </w:pPr>
      <w:r>
        <w:t>[иной сценарий, значимый для организации]</w:t>
      </w:r>
    </w:p>
    <w:p>
      <w:pPr>
        <w:pStyle w:val="Heading1"/>
      </w:pPr>
      <w:r>
        <w:rPr>
          <w:color w:val="1B2A4A"/>
        </w:rPr>
        <w:t>5. Порядок активации плана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Шаг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Кто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Срок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Как фиксируется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Обнаружение признаков нарушения и первичная оценка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Дежурная смена / руководитель подразделения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Немедленно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Запись в журнале инцидентов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Решение об активации плана (модуля)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[Председатель кризисного штаба] или замещающее лицо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Не позднее [30 минут] с момента подтверждения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Приказ / сообщение в канале оповещения с указанием времени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Оповещение участников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Секретарь штаба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В течение [15 минут] после активации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Список оповещенных с отметкой времени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Решение о завершении режима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Кризисный штаб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После восстановления показателей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Протокол заседания штаба</w:t>
            </w:r>
          </w:p>
        </w:tc>
      </w:tr>
    </w:tbl>
    <w:p/>
    <w:p>
      <w:pPr>
        <w:pStyle w:val="Heading1"/>
      </w:pPr>
      <w:r>
        <w:rPr>
          <w:color w:val="1B2A4A"/>
        </w:rPr>
        <w:t>6. Процедуры восстановления (модули плана)</w:t>
      </w:r>
    </w:p>
    <w:p>
      <w:r>
        <w:t>Для каждого сценария из раздела 4 заполняется отдельный модуль по форме ниже.</w:t>
      </w:r>
    </w:p>
    <w:p>
      <w:pPr>
        <w:pStyle w:val="Heading2"/>
      </w:pPr>
      <w:r>
        <w:rPr>
          <w:color w:val="1B2A4A"/>
        </w:rPr>
        <w:t>Модуль [номер]. [Название сценария]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Действие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Исполнитель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Срок от активации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Результат / контрольная точка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Подтвердить инцидент, зафиксировать время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0–15 мин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Запись в журнале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Принять решение о переходе на резервную схему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до [60] мин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Решение штаба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Переключение на резервную площадку / ручной режим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до [RTO] часов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Процесс работает в резервном режиме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Информирование клиентов и Банка России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по регламенту раздела 7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Отправленные уведомления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Возврат к штатной схеме и проверка данных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после устранения причины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Акт восстановления</w:t>
            </w:r>
          </w:p>
        </w:tc>
      </w:tr>
    </w:tbl>
    <w:p/>
    <w:p>
      <w:pPr>
        <w:pStyle w:val="Heading1"/>
      </w:pPr>
      <w:r>
        <w:rPr>
          <w:color w:val="1B2A4A"/>
        </w:rPr>
        <w:t>7. Коммуникации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Адресат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Что сообщаем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Кто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Канал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Срок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Сотрудники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Режим работы, кто за что отвечает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Секретарь штаба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Корпоративный мессенджер, SMS-рассылка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Немедленно после активации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Клиенты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Какие услуги недоступны, альтернативы, ожидаемый срок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Руководитель клиентского блока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Сайт, приложение, колл-центр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В течение [1 часа]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Банк России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Уведомление об инциденте по установленной форме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Ответственный за взаимодействие с регулятором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Личный кабинет / установленный канал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В сроки, установленные нормативными актами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СМИ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Согласованное заявление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Пресс-служба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Официальные каналы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По решению штаба</w:t>
            </w:r>
          </w:p>
        </w:tc>
      </w:tr>
    </w:tbl>
    <w:p/>
    <w:p>
      <w:r>
        <w:t>Шаблоны сообщений для каждого адресата приводятся в Приложении Б.</w:t>
      </w:r>
    </w:p>
    <w:p>
      <w:pPr>
        <w:pStyle w:val="Heading1"/>
      </w:pPr>
      <w:r>
        <w:rPr>
          <w:color w:val="1B2A4A"/>
        </w:rPr>
        <w:t>8. Резервные ресурсы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Ресурс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Основной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Резервный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Время переключения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Кто инициирует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Дата последней проверки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Площадка обработки данных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[ЦОД-1]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[ЦОД-2]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[часов]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Каналы связи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[оператор 1]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[оператор 2]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[минут]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Резервное копирование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[периодичность, глубина хранения]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[место хранения]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RPO [часов]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Рабочие места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[основной офис]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[резервный офис / удаленная работа]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[часов]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[должность]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[дата]</w:t>
            </w:r>
          </w:p>
        </w:tc>
      </w:tr>
    </w:tbl>
    <w:p/>
    <w:p>
      <w:pPr>
        <w:pStyle w:val="Heading1"/>
      </w:pPr>
      <w:r>
        <w:rPr>
          <w:color w:val="1B2A4A"/>
        </w:rPr>
        <w:t>9. Зависимость от поставщиков и ключевых сотрудников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Поставщик / сотрудник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Что обеспечивает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Договорные требования к непрерывности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Замена при недоступности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Срок замены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[поставщик процессинга]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[обработка карт]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[SLA, план непрерывности поставщика, право аудита]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[резервный поставщик / ручной режим]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[часов]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[ключевой сотрудник]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[уникальная компетенция]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Дублирование знаний, документированные инструкции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[заместитель]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[дней]</w:t>
            </w:r>
          </w:p>
        </w:tc>
      </w:tr>
    </w:tbl>
    <w:p/>
    <w:p>
      <w:pPr>
        <w:pStyle w:val="Heading1"/>
      </w:pPr>
      <w:r>
        <w:rPr>
          <w:color w:val="1B2A4A"/>
        </w:rPr>
        <w:t>10. Порядок тестирования</w:t>
      </w:r>
    </w:p>
    <w:p>
      <w:r>
        <w:t>Виды проверок: настольный разбор сценария, проверка оповещения, натурное переключение на резервную площадку, комплексное учение. Программа тестирования на год утверждается [орган]. Результаты оформляются протоколом с перечнем выявленных недостатков и сроками их устранения.</w:t>
      </w:r>
    </w:p>
    <w:p>
      <w:pPr>
        <w:pStyle w:val="Heading1"/>
      </w:pPr>
      <w:r>
        <w:rPr>
          <w:color w:val="1B2A4A"/>
        </w:rPr>
        <w:t>11. Порядок актуализации</w:t>
      </w:r>
    </w:p>
    <w:p>
      <w:r>
        <w:t>Плановый пересмотр не реже одного раза в год. Внеплановый пересмотр при изменении перечня процессов, критичной архитектуры, организационной структуры, состава критичных поставщиков, после значимого инцидента и при изменении нормативных требований. Контактные данные и схемы оповещения актуализируются ежеквартально.</w:t>
      </w:r>
    </w:p>
    <w:p>
      <w:pPr>
        <w:pStyle w:val="Heading1"/>
      </w:pPr>
      <w:r>
        <w:rPr>
          <w:color w:val="1B2A4A"/>
        </w:rPr>
        <w:t>Приложения</w:t>
      </w:r>
    </w:p>
    <w:p>
      <w:pPr>
        <w:pStyle w:val="ListBullet"/>
      </w:pPr>
      <w:r>
        <w:t>А. Схема критичной архитектуры</w:t>
      </w:r>
    </w:p>
    <w:p>
      <w:pPr>
        <w:pStyle w:val="ListBullet"/>
      </w:pPr>
      <w:r>
        <w:t>Б. Шаблоны сообщений для сотрудников, клиентов, регулятора и СМИ</w:t>
      </w:r>
    </w:p>
    <w:p>
      <w:pPr>
        <w:pStyle w:val="ListBullet"/>
      </w:pPr>
      <w:r>
        <w:t>В. Контактный лист кризисного штаба и замещающих лиц</w:t>
      </w:r>
    </w:p>
    <w:p>
      <w:pPr>
        <w:pStyle w:val="ListBullet"/>
      </w:pPr>
      <w:r>
        <w:t>Г. Журнал инцидентов и активаций плана</w:t>
      </w:r>
    </w:p>
    <w:p>
      <w:pPr>
        <w:pStyle w:val="ListBullet"/>
      </w:pPr>
      <w:r>
        <w:t>Д. Программа тестирования на год</w:t>
      </w:r>
    </w:p>
    <w:p>
      <w:r>
        <w:rPr>
          <w:color w:val="808080"/>
          <w:sz w:val="18"/>
        </w:rPr>
        <w:t>Шаблон подготовлен bcm.risk-place.ru, практика непрерывности бизнеса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