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Политика обеспечения операционной устойчивости</w:t>
      </w:r>
    </w:p>
    <w:p>
      <w:r>
        <w:rPr>
          <w:i/>
          <w:sz w:val="22"/>
        </w:rPr>
        <w:t>[Наименование организации]. Внутренний документ верхнего уровня, задающий цели, принципы и роли. Детальные процедуры выносятся в план непрерывности и регламенты.</w:t>
      </w:r>
    </w:p>
    <w:p>
      <w:r>
        <w:rPr>
          <w:sz w:val="20"/>
        </w:rPr>
        <w:t>Как пользоваться. Текст в квадратных скобках заменяется на данные организации. Разделы, помеченные «при необходимости», удаляются, если к организации неприменимы. Перед утверждением документ проверяет юридическая служба и служба внутреннего контроля.</w:t>
      </w:r>
    </w:p>
    <w:p>
      <w:pPr>
        <w:pStyle w:val="Heading1"/>
      </w:pPr>
      <w:r>
        <w:rPr>
          <w:color w:val="1B2A4A"/>
        </w:rPr>
        <w:t>1. Назначение и область применения</w:t>
      </w:r>
    </w:p>
    <w:p>
      <w:r>
        <w:t>Политика определяет подход [организации] к обеспечению операционной устойчивости: способности продолжать оказание критичных услуг при нарушениях и восстанавливать их в установленные сроки. Политика распространяется на все подразделения, дочерние организации [при необходимости] и критичных поставщиков в части договорных требований.</w:t>
      </w:r>
    </w:p>
    <w:p>
      <w:pPr>
        <w:pStyle w:val="Heading1"/>
      </w:pPr>
      <w:r>
        <w:rPr>
          <w:color w:val="1B2A4A"/>
        </w:rPr>
        <w:t>2. Термины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Термин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Определение в настоящей политике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Операционная устойчивость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Способность организации предупреждать нарушения, адаптироваться к ним, реагировать и восстанавливаться, продолжая оказывать критичные услуги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Критичная услуга (процесс)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Услуга, нарушение которой в пределах допустимого времени простоя наносит неприемлемый ущерб клиентам, организации или рынку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Допустимое время простоя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Максимальный период, в течение которого нарушение критичной услуги остается приемлемым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Целевое время восстановления (RTO)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Срок, в который услуга должна быть восстановлена хотя бы на минимальном уровне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Целевая точка восстановления (RPO)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Максимально допустимая потеря данных, выраженная во времени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Минимальный уровень оказания услуги (MBCO)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Объем и качество услуги, достаточные в период нарушения</w:t>
            </w:r>
          </w:p>
        </w:tc>
      </w:tr>
    </w:tbl>
    <w:p/>
    <w:p>
      <w:pPr>
        <w:pStyle w:val="Heading1"/>
      </w:pPr>
      <w:r>
        <w:rPr>
          <w:color w:val="1B2A4A"/>
        </w:rPr>
        <w:t>3. Цели</w:t>
      </w:r>
    </w:p>
    <w:p>
      <w:pPr>
        <w:pStyle w:val="ListBullet"/>
      </w:pPr>
      <w:r>
        <w:t>Перечень критичных услуг определен и утвержден, для каждой установлены допустимое время простоя, RTO, RPO и минимальный уровень.</w:t>
      </w:r>
    </w:p>
    <w:p>
      <w:pPr>
        <w:pStyle w:val="ListBullet"/>
      </w:pPr>
      <w:r>
        <w:t>Для каждой критичной услуги существует проверенная на практике процедура восстановления.</w:t>
      </w:r>
    </w:p>
    <w:p>
      <w:pPr>
        <w:pStyle w:val="ListBullet"/>
      </w:pPr>
      <w:r>
        <w:t>Нарушения выявляются и эскалируются в пределах [30 минут], решения о реагировании принимаются уполномоченными лицами.</w:t>
      </w:r>
    </w:p>
    <w:p>
      <w:pPr>
        <w:pStyle w:val="ListBullet"/>
      </w:pPr>
      <w:r>
        <w:t>Зависимости от поставщиков и единые точки отказа известны и управляются.</w:t>
      </w:r>
    </w:p>
    <w:p>
      <w:pPr>
        <w:pStyle w:val="ListBullet"/>
      </w:pPr>
      <w:r>
        <w:t>Готовность проверяется тестированием не реже [одного раза в год] по каждой критичной услуге.</w:t>
      </w:r>
    </w:p>
    <w:p>
      <w:pPr>
        <w:pStyle w:val="Heading1"/>
      </w:pPr>
      <w:r>
        <w:rPr>
          <w:color w:val="1B2A4A"/>
        </w:rPr>
        <w:t>4. Принципы</w:t>
      </w:r>
    </w:p>
    <w:p>
      <w:pPr>
        <w:pStyle w:val="ListBullet"/>
      </w:pPr>
      <w:r>
        <w:t>Ориентация на услугу: устойчивость измеряется с точки зрения клиента, а не отдельной системы.</w:t>
      </w:r>
    </w:p>
    <w:p>
      <w:pPr>
        <w:pStyle w:val="ListBullet"/>
      </w:pPr>
      <w:r>
        <w:t>Ответственность первой линии: владелец услуги отвечает за ее устойчивость, функция непрерывности задает методологию и проверяет.</w:t>
      </w:r>
    </w:p>
    <w:p>
      <w:pPr>
        <w:pStyle w:val="ListBullet"/>
      </w:pPr>
      <w:r>
        <w:t>Проверка практикой: план, который не тестировался, считается несуществующим.</w:t>
      </w:r>
    </w:p>
    <w:p>
      <w:pPr>
        <w:pStyle w:val="ListBullet"/>
      </w:pPr>
      <w:r>
        <w:t>Соразмерность: глубина мер пропорциональна критичности услуги.</w:t>
      </w:r>
    </w:p>
    <w:p>
      <w:pPr>
        <w:pStyle w:val="ListBullet"/>
      </w:pPr>
      <w:r>
        <w:t>Открытость: об инцидентах сообщается внутри организации и регулятору своевременно и полно.</w:t>
      </w:r>
    </w:p>
    <w:p>
      <w:pPr>
        <w:pStyle w:val="Heading1"/>
      </w:pPr>
      <w:r>
        <w:rPr>
          <w:color w:val="1B2A4A"/>
        </w:rPr>
        <w:t>5. Роли и ответственность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Роль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Ответственность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Совет директоров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Утверждает политику и аппетит к нарушениям (допустимое время простоя), рассматривает годовой отчет об устойчивости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Правление / генеральный директор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Обеспечивает ресурсы, утверждает перечень критичных услуг и план непрерывности, принимает решения в кризисе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Руководитель функции непрерывности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Методология, координация анализа воздействия, программа тестирования, отчетность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Владельцы критичных услуг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Целевые показатели, процедуры восстановления, участие в тестировании, актуализация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ИТ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Критичная архитектура, резервирование, планы аварийного восстановления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Управление рисками и внутренний аудит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Независимая оценка системы, проверка выполнения планов устранения недостатков</w:t>
            </w:r>
          </w:p>
        </w:tc>
      </w:tr>
    </w:tbl>
    <w:p/>
    <w:p>
      <w:pPr>
        <w:pStyle w:val="Heading1"/>
      </w:pPr>
      <w:r>
        <w:rPr>
          <w:color w:val="1B2A4A"/>
        </w:rPr>
        <w:t>6. Целевые показатели и их пересмотр</w:t>
      </w:r>
    </w:p>
    <w:p>
      <w:r>
        <w:t>Целевые показатели устойчивости (допустимое время простоя, RTO, RPO, доля деградации) утверждаются по каждой критичной услуге и пересматриваются не реже одного раза в год, а также после значимого инцидента, при изменении процесса, архитектуры или требований регулятора.</w:t>
      </w:r>
    </w:p>
    <w:p>
      <w:pPr>
        <w:pStyle w:val="Heading1"/>
      </w:pPr>
      <w:r>
        <w:rPr>
          <w:color w:val="1B2A4A"/>
        </w:rPr>
        <w:t>7. Управление инцидентами и кризисом</w:t>
      </w:r>
    </w:p>
    <w:p>
      <w:r>
        <w:t>Порядок выявления, классификации, эскалации и реагирования описан в [регламенте управления инцидентами]. Кризисный штаб формируется в составе [перечень должностей]; его решения оформляются протоколом. Коммуникации с клиентами, регулятором и СМИ ведутся по утвержденным шаблонам.</w:t>
      </w:r>
    </w:p>
    <w:p>
      <w:pPr>
        <w:pStyle w:val="Heading1"/>
      </w:pPr>
      <w:r>
        <w:rPr>
          <w:color w:val="1B2A4A"/>
        </w:rPr>
        <w:t>8. Поставщики и аутсорсинг</w:t>
      </w:r>
    </w:p>
    <w:p>
      <w:r>
        <w:t>Для поставщиков, обеспечивающих критичные услуги, в договор включаются требования к непрерывности, уровню обслуживания, уведомлению об инцидентах и праву проверки. Концентрация на одном поставщике без резервной схемы учитывается как единая точка отказа.</w:t>
      </w:r>
    </w:p>
    <w:p>
      <w:pPr>
        <w:pStyle w:val="Heading1"/>
      </w:pPr>
      <w:r>
        <w:rPr>
          <w:color w:val="1B2A4A"/>
        </w:rPr>
        <w:t>9. Тестирование и обучение готовности</w:t>
      </w:r>
    </w:p>
    <w:p>
      <w:r>
        <w:t>Годовая программа тестирования охватывает все критичные услуги. Результаты оформляются протоколами, недостатки включаются в план устранения с ответственными и сроками. Новые сотрудники кризисного штаба знакомятся с планом в течение [30 дней] после назначения.</w:t>
      </w:r>
    </w:p>
    <w:p>
      <w:pPr>
        <w:pStyle w:val="Heading1"/>
      </w:pPr>
      <w:r>
        <w:rPr>
          <w:color w:val="1B2A4A"/>
        </w:rPr>
        <w:t>10. Отчетность</w:t>
      </w:r>
    </w:p>
    <w:p>
      <w:r>
        <w:t>Ежеквартально: статус целевых показателей, инциденты, выполнение плана устранения недостатков, для правления. Ежегодно: отчет о состоянии операционной устойчивости для совета директоров.</w:t>
      </w:r>
    </w:p>
    <w:p>
      <w:pPr>
        <w:pStyle w:val="Heading1"/>
      </w:pPr>
      <w:r>
        <w:rPr>
          <w:color w:val="1B2A4A"/>
        </w:rPr>
        <w:t>11. Пересмотр политики</w:t>
      </w:r>
    </w:p>
    <w:p>
      <w:r>
        <w:t>Политика пересматривается не реже одного раза в [два года] и при изменении нормативных требований. Ответственный за актуализацию: [должность].</w:t>
      </w:r>
    </w:p>
    <w:p>
      <w:r>
        <w:rPr>
          <w:color w:val="808080"/>
          <w:sz w:val="18"/>
        </w:rPr>
        <w:t>Шаблон подготовлен bcm.risk-place.ru, практика непрерывности бизнеса Евгения Теленкова. Свободное использование внутри организации. Версия от 01.10.2026.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